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Performance Review Assignment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i w:val="1"/>
          <w:sz w:val="32"/>
          <w:szCs w:val="32"/>
          <w:rtl w:val="0"/>
        </w:rPr>
        <w:t xml:space="preserve">A Raisin in the Sun</w:t>
      </w: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 at Arena Stage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32"/>
          <w:szCs w:val="32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u w:val="single"/>
          <w:rtl w:val="0"/>
        </w:rPr>
        <w:t xml:space="preserve">Option #1 -- Written Review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Assignment: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You will write a short review of the performance of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A Raisin in the Sun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at Arena Stage after you see it performed on our field trip. </w:t>
      </w:r>
    </w:p>
    <w:p w:rsidR="00000000" w:rsidDel="00000000" w:rsidP="00000000" w:rsidRDefault="00000000" w:rsidRPr="00000000">
      <w:pPr>
        <w:pBdr/>
        <w:ind w:left="720" w:firstLine="72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→ This review is due by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Monday, April 24th. ← 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What you need to include in the review: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was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done well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in the play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was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not done well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play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Whether you recommend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people see this play and why/why not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will need to reference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u w:val="single"/>
          <w:rtl w:val="0"/>
        </w:rPr>
        <w:t xml:space="preserve">specific moments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play as evidence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will need to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avoid the first person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review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8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Name of the play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Name of the theater company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Actors’ names who played the major characters (Walter, Mama, Beneatha, Ruth)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Briefly state whether people should see it or not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Body Paragraph #1 -- Positives, which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could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include the following: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did you like about the play?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Which actors portrayed their characters best? Why or in what way (be specific)?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Which scene or moment had the best acting?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How well did the performance capture the major themes and ideas in the play?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Did you like the way the play was directed? Think of these elements: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way the scenes changed or transitioned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events or characters that received the most focus and attention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Body Paragraph #2 -- Negatives, which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could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include the following: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/>
              <w:spacing w:line="240" w:lineRule="auto"/>
              <w:ind w:left="720" w:hanging="360"/>
              <w:contextualSpacing w:val="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did you dislike about the play?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Anything from the list from Body Paragraph #1 that you thought were done poorly.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Conclusion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ambria" w:cs="Cambria" w:eastAsia="Cambria" w:hAnsi="Cambria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Do you recommend others see this play? Why or why not?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32"/>
          <w:szCs w:val="32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u w:val="single"/>
          <w:rtl w:val="0"/>
        </w:rPr>
        <w:t xml:space="preserve">Option #2 -- “Radio” Review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Assignment: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You will imagine yourself a theater critic* doing a radio interview, and you are reviewing the Arena Stage presentation of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A Raisin in the Sun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/>
        <w:ind w:left="720" w:firstLine="720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72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→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This review is due by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Monday, April 24th. ←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What you need to include in the review: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was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done well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play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was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not done well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play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Whether you recommend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people see this play and why/why not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will need to reference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specific moments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in the play as evidence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How you should do the review: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Record using a phone (voice memo) or computer (Quicktime)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Save the file and send to Mr. Green as an attachment. Please make sure your name is on the file or is otherwise made clear somewhere on the assignment. 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can record it by yourself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or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with a partner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By yourself: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Imagine you are a theater critic, and you are recording a review for radio listeners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With a partner: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One person acts as the interviewer, and the other acts as the theater critic. Conduct an interview like you would hear on the radio or on a podcast. Then, switch roles. Each person must play the role of the critic. 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*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Critic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does not mean you can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only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be critical -- you can heap praise on the play if you loved it. A critic is simply someone who watches and reviews some form of art. 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i w:val="1"/>
          <w:sz w:val="36"/>
          <w:szCs w:val="36"/>
          <w:rtl w:val="0"/>
        </w:rPr>
        <w:t xml:space="preserve">A Raisin in the Sun</w:t>
      </w: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Review Rubric</w:t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00"/>
        <w:gridCol w:w="1410"/>
        <w:gridCol w:w="930"/>
        <w:gridCol w:w="2820"/>
        <w:tblGridChange w:id="0">
          <w:tblGrid>
            <w:gridCol w:w="4200"/>
            <w:gridCol w:w="1410"/>
            <w:gridCol w:w="930"/>
            <w:gridCol w:w="28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Excellent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Good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Needs Improvement</w:t>
            </w:r>
          </w:p>
        </w:tc>
      </w:tr>
      <w:tr>
        <w:trPr>
          <w:trHeight w:val="19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You addressed the following: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was done well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was not done well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Whether you recommend others see the play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6 (or lower)</w:t>
            </w:r>
          </w:p>
        </w:tc>
      </w:tr>
      <w:tr>
        <w:trPr>
          <w:trHeight w:val="14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You referenced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specific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moments from the play to support your opinions.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6 (or lower)</w:t>
            </w:r>
          </w:p>
        </w:tc>
      </w:tr>
      <w:tr>
        <w:trPr>
          <w:trHeight w:val="1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You wrote or spoke clearly and accurately.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3 (or lower)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mbria" w:cs="Cambria" w:eastAsia="Cambria" w:hAnsi="Cambria"/>
          <w:sz w:val="44"/>
          <w:szCs w:val="44"/>
        </w:rPr>
      </w:pPr>
      <w:r w:rsidDel="00000000" w:rsidR="00000000" w:rsidRPr="00000000">
        <w:rPr>
          <w:rFonts w:ascii="Cambria" w:cs="Cambria" w:eastAsia="Cambria" w:hAnsi="Cambria"/>
          <w:sz w:val="44"/>
          <w:szCs w:val="44"/>
          <w:rtl w:val="0"/>
        </w:rPr>
        <w:t xml:space="preserve">Total ____________________/25 points</w:t>
      </w:r>
    </w:p>
    <w:sectPr>
      <w:pgSz w:h="15840" w:w="122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